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1E4A" w14:textId="77777777" w:rsidR="00422352" w:rsidRDefault="0091364D">
      <w:pPr>
        <w:pStyle w:val="LO-normal"/>
        <w:keepNext/>
        <w:keepLines/>
        <w:spacing w:before="240" w:after="120" w:line="259" w:lineRule="auto"/>
        <w:ind w:left="357" w:hanging="357"/>
        <w:rPr>
          <w:rFonts w:ascii="Calibri" w:eastAsia="Calibri" w:hAnsi="Calibri" w:cs="Calibri"/>
          <w:b/>
          <w:color w:val="2F5496"/>
          <w:sz w:val="32"/>
          <w:szCs w:val="32"/>
        </w:rPr>
      </w:pPr>
      <w:bookmarkStart w:id="0" w:name="_gjdgxs"/>
      <w:bookmarkEnd w:id="0"/>
      <w:r>
        <w:rPr>
          <w:rFonts w:ascii="Calibri" w:eastAsia="Calibri" w:hAnsi="Calibri" w:cs="Calibri"/>
          <w:b/>
          <w:color w:val="2F5496"/>
          <w:sz w:val="32"/>
          <w:szCs w:val="32"/>
        </w:rPr>
        <w:t xml:space="preserve">Informacje dotyczące stosowania oseltamiwiru </w:t>
      </w:r>
    </w:p>
    <w:p w14:paraId="439FD0E1" w14:textId="77777777" w:rsidR="00422352" w:rsidRDefault="0091364D">
      <w:pPr>
        <w:pStyle w:val="LO-normal"/>
      </w:pPr>
      <w:r>
        <w:rPr>
          <w:rFonts w:ascii="Arial" w:eastAsia="Arial" w:hAnsi="Arial" w:cs="Arial"/>
          <w:sz w:val="22"/>
          <w:szCs w:val="22"/>
        </w:rPr>
        <w:t xml:space="preserve">Ulotki dostępne w innych językach można znaleźć na </w:t>
      </w:r>
      <w:hyperlink r:id="rId7">
        <w:r>
          <w:rPr>
            <w:rStyle w:val="ListLabel10"/>
          </w:rPr>
          <w:t>stronie internetowej Europejskiej Agencji Leków</w:t>
        </w:r>
      </w:hyperlink>
      <w:r>
        <w:rPr>
          <w:rFonts w:ascii="Arial" w:eastAsia="Arial" w:hAnsi="Arial" w:cs="Arial"/>
          <w:sz w:val="22"/>
          <w:szCs w:val="22"/>
        </w:rPr>
        <w:t xml:space="preserve"> EMA (European Medicines Agency); wpisując w wyszukiwarkę „oseltamivir”.</w:t>
      </w:r>
    </w:p>
    <w:p w14:paraId="651D12F7" w14:textId="77777777" w:rsidR="00422352" w:rsidRDefault="00422352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276D75A8" w14:textId="77777777" w:rsidR="00422352" w:rsidRDefault="00422352">
      <w:pPr>
        <w:pStyle w:val="LO-normal"/>
        <w:pBdr>
          <w:top w:val="single" w:sz="4" w:space="1" w:color="000000"/>
        </w:pBdr>
        <w:rPr>
          <w:rFonts w:ascii="Arial" w:eastAsia="Arial" w:hAnsi="Arial" w:cs="Arial"/>
          <w:sz w:val="22"/>
          <w:szCs w:val="22"/>
        </w:rPr>
      </w:pPr>
    </w:p>
    <w:p w14:paraId="2D478566" w14:textId="77777777" w:rsidR="00422352" w:rsidRDefault="0091364D">
      <w:pPr>
        <w:pStyle w:val="LO-normal"/>
        <w:pBdr>
          <w:top w:val="single" w:sz="4" w:space="1" w:color="000000"/>
        </w:pBdr>
      </w:pPr>
      <w:r>
        <w:rPr>
          <w:rFonts w:ascii="Arial" w:eastAsia="Arial" w:hAnsi="Arial" w:cs="Arial"/>
          <w:sz w:val="22"/>
          <w:szCs w:val="22"/>
        </w:rPr>
        <w:t xml:space="preserve">Lekarstwa są podawane ze względu na kontakt z zarażonymi kurami lub kaczkami. Zapobiegają one wystąpieniu ptasiej grypy u człowieka. </w:t>
      </w:r>
    </w:p>
    <w:p w14:paraId="2BD56BF4" w14:textId="77777777" w:rsidR="00422352" w:rsidRDefault="0091364D">
      <w:pPr>
        <w:pStyle w:val="LO-normal"/>
        <w:keepNext/>
        <w:keepLines/>
        <w:spacing w:before="40" w:line="259" w:lineRule="auto"/>
      </w:pPr>
      <w:r>
        <w:rPr>
          <w:rFonts w:ascii="Arial" w:eastAsia="Arial" w:hAnsi="Arial" w:cs="Arial"/>
          <w:sz w:val="22"/>
          <w:szCs w:val="22"/>
        </w:rPr>
        <w:t>Dawkowanie:</w:t>
      </w:r>
    </w:p>
    <w:p w14:paraId="359B3793" w14:textId="77777777" w:rsidR="00422352" w:rsidRDefault="0091364D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 kapsułka 75 mg 1 x dziennie</w:t>
      </w:r>
    </w:p>
    <w:p w14:paraId="1EAFC444" w14:textId="77777777" w:rsidR="00422352" w:rsidRDefault="00422352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</w:p>
    <w:p w14:paraId="58093194" w14:textId="77777777" w:rsidR="00422352" w:rsidRDefault="0091364D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Jak przyjmować lek?</w:t>
      </w:r>
    </w:p>
    <w:p w14:paraId="73BFE28A" w14:textId="77777777" w:rsidR="00422352" w:rsidRDefault="0091364D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Lek należy zażywać codziennie o tej samej porze. Kapsułki należy popić wodą. Leczenie powinno być rozpoczęte jak najszybciej. Przed użyciem należy zapoznać się z treścią ulotki.</w:t>
      </w:r>
    </w:p>
    <w:p w14:paraId="2362B7EE" w14:textId="77777777" w:rsidR="00422352" w:rsidRDefault="00422352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</w:p>
    <w:p w14:paraId="1D36D93D" w14:textId="77777777" w:rsidR="00422352" w:rsidRDefault="0091364D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Okres stosowania leku:</w:t>
      </w:r>
    </w:p>
    <w:p w14:paraId="5C38C057" w14:textId="77777777" w:rsidR="00422352" w:rsidRDefault="0091364D">
      <w:pPr>
        <w:pStyle w:val="LO-normal"/>
        <w:keepNext/>
        <w:keepLines/>
        <w:numPr>
          <w:ilvl w:val="0"/>
          <w:numId w:val="1"/>
        </w:numPr>
        <w:spacing w:before="40" w:line="259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jeśli pacjent brał udział w wybiciu potencjalnie zakażonego drobiu: do 10 dni po zaprzestaniu czynności.</w:t>
      </w:r>
    </w:p>
    <w:p w14:paraId="0837B8E1" w14:textId="482556CB" w:rsidR="00422352" w:rsidRDefault="0091364D">
      <w:pPr>
        <w:pStyle w:val="LO-normal"/>
        <w:keepNext/>
        <w:keepLines/>
        <w:numPr>
          <w:ilvl w:val="0"/>
          <w:numId w:val="1"/>
        </w:numPr>
        <w:spacing w:before="40" w:line="259" w:lineRule="auto"/>
      </w:pPr>
      <w:r>
        <w:rPr>
          <w:rFonts w:ascii="Arial" w:eastAsia="Arial" w:hAnsi="Arial" w:cs="Arial"/>
          <w:color w:val="000000"/>
          <w:sz w:val="22"/>
          <w:szCs w:val="22"/>
        </w:rPr>
        <w:t>jeśli pacjent jest hodowcą/posiadaczem drobiu: do 10 dni od momentu wybicia potencjalnie zakażonego drobiu lub ostatniego kontaktu z drobiem.</w:t>
      </w:r>
    </w:p>
    <w:p w14:paraId="5CBC3919" w14:textId="77777777" w:rsidR="00422352" w:rsidRDefault="00422352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</w:p>
    <w:p w14:paraId="3BE7581D" w14:textId="77777777" w:rsidR="00422352" w:rsidRDefault="0091364D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Informacje dodatkowe:</w:t>
      </w:r>
    </w:p>
    <w:p w14:paraId="352C16D2" w14:textId="77777777" w:rsidR="00422352" w:rsidRDefault="0091364D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Pacjenci z zaburzeniami czynności nerek, w okresie ciąży (lub planujący ciążę) lub w okresie karmienia piersią, przed zastosowaniem leku powinni skontaktować się ze swoim lekarzem GGD lub lekarzem prowadzącym.</w:t>
      </w:r>
    </w:p>
    <w:p w14:paraId="7774384C" w14:textId="77777777" w:rsidR="00422352" w:rsidRDefault="00422352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</w:p>
    <w:p w14:paraId="40A0BCC9" w14:textId="77777777" w:rsidR="00422352" w:rsidRDefault="0091364D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Skutki uboczne:</w:t>
      </w:r>
    </w:p>
    <w:p w14:paraId="71774A8D" w14:textId="77777777" w:rsidR="00422352" w:rsidRDefault="0091364D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Również ten lek, tak jak każdy inny, może powodować działania niepożądane. </w:t>
      </w:r>
    </w:p>
    <w:p w14:paraId="0873F3C5" w14:textId="77777777" w:rsidR="00422352" w:rsidRDefault="0091364D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Mogą wystąpić nudności, wymioty, ból brzucha i ból głowy. Zazwyczaj dolegliwości te ustępują po 1-2 dniach. </w:t>
      </w:r>
    </w:p>
    <w:p w14:paraId="635B7972" w14:textId="77777777" w:rsidR="00422352" w:rsidRDefault="0091364D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 przypadku wystąpienia skutków ubocznych, należy skontaktować się z GGD pod numerem telefonu [</w:t>
      </w:r>
      <w:r>
        <w:rPr>
          <w:rFonts w:ascii="Arial" w:eastAsia="Arial" w:hAnsi="Arial" w:cs="Arial"/>
          <w:sz w:val="22"/>
          <w:szCs w:val="22"/>
          <w:highlight w:val="yellow"/>
        </w:rPr>
        <w:t>numer telefonu</w:t>
      </w:r>
      <w:r>
        <w:rPr>
          <w:rFonts w:ascii="Arial" w:eastAsia="Arial" w:hAnsi="Arial" w:cs="Arial"/>
          <w:sz w:val="22"/>
          <w:szCs w:val="22"/>
        </w:rPr>
        <w:t>],</w:t>
      </w:r>
    </w:p>
    <w:p w14:paraId="474F030C" w14:textId="77777777" w:rsidR="00422352" w:rsidRDefault="0091364D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także w sytuacji, gdy pacjent chce zaprzestać przyjmowania leku. Przed odstawieniem leku należy zawsze skonsultować się z lekarzem. </w:t>
      </w:r>
    </w:p>
    <w:p w14:paraId="3D34CE22" w14:textId="77777777" w:rsidR="00422352" w:rsidRDefault="0091364D">
      <w:pPr>
        <w:pStyle w:val="LO-normal"/>
        <w:keepNext/>
        <w:keepLines/>
        <w:spacing w:before="40" w:line="259" w:lineRule="auto"/>
      </w:pPr>
      <w:r>
        <w:rPr>
          <w:rFonts w:ascii="Arial" w:eastAsia="Arial" w:hAnsi="Arial" w:cs="Arial"/>
          <w:sz w:val="22"/>
          <w:szCs w:val="22"/>
        </w:rPr>
        <w:t xml:space="preserve">Skutki uboczne można również zgłaszać do holenderskiego centrum ds. działań niepożądanych Lareb za pośrednictwem strony internetowej </w:t>
      </w:r>
      <w:hyperlink r:id="rId8">
        <w:r>
          <w:rPr>
            <w:rStyle w:val="ListLabel10"/>
          </w:rPr>
          <w:t>www.lareb.nl.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DD4C1F9" w14:textId="77777777" w:rsidR="00422352" w:rsidRDefault="00422352">
      <w:pPr>
        <w:pStyle w:val="LO-normal"/>
        <w:keepNext/>
        <w:keepLines/>
        <w:spacing w:before="40" w:line="259" w:lineRule="auto"/>
        <w:rPr>
          <w:rFonts w:ascii="Arial" w:eastAsia="Arial" w:hAnsi="Arial" w:cs="Arial"/>
          <w:sz w:val="22"/>
          <w:szCs w:val="22"/>
        </w:rPr>
      </w:pPr>
    </w:p>
    <w:p w14:paraId="56223C35" w14:textId="77777777" w:rsidR="00422352" w:rsidRDefault="00422352">
      <w:pPr>
        <w:pStyle w:val="LO-normal"/>
        <w:keepNext/>
        <w:keepLines/>
        <w:tabs>
          <w:tab w:val="left" w:pos="3225"/>
        </w:tabs>
        <w:spacing w:before="40" w:line="259" w:lineRule="auto"/>
      </w:pPr>
    </w:p>
    <w:sectPr w:rsidR="00422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705" w:right="2835" w:bottom="1066" w:left="1582" w:header="709" w:footer="510" w:gutter="0"/>
      <w:pgNumType w:start="1"/>
      <w:cols w:space="720"/>
      <w:formProt w:val="0"/>
      <w:titlePg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3821B" w14:textId="77777777" w:rsidR="009D0219" w:rsidRDefault="0091364D">
      <w:r>
        <w:separator/>
      </w:r>
    </w:p>
  </w:endnote>
  <w:endnote w:type="continuationSeparator" w:id="0">
    <w:p w14:paraId="72515963" w14:textId="77777777" w:rsidR="009D0219" w:rsidRDefault="0091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CEFF" w14:textId="77777777" w:rsidR="00AE2196" w:rsidRDefault="00AE2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0E755" w14:textId="77777777" w:rsidR="00422352" w:rsidRDefault="0091364D">
    <w:pPr>
      <w:pStyle w:val="LO-normal"/>
      <w:ind w:left="4320" w:firstLine="720"/>
      <w:rPr>
        <w:color w:val="000000"/>
        <w:sz w:val="13"/>
        <w:szCs w:val="13"/>
      </w:rPr>
    </w:pPr>
    <w:r>
      <w:rPr>
        <w:color w:val="000000"/>
        <w:sz w:val="13"/>
        <w:szCs w:val="13"/>
      </w:rPr>
      <w:t>Strona 2 z 2</w:t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A143" w14:textId="55A8B20C" w:rsidR="00422352" w:rsidRDefault="0091364D">
    <w:pPr>
      <w:pStyle w:val="LO-normal"/>
      <w:rPr>
        <w:color w:val="000000"/>
        <w:sz w:val="13"/>
        <w:szCs w:val="13"/>
      </w:rPr>
    </w:pPr>
    <w:r>
      <w:rPr>
        <w:color w:val="000000"/>
        <w:sz w:val="13"/>
        <w:szCs w:val="13"/>
      </w:rPr>
      <w:t>RIVM-CIb Plan działania AI 2020</w:t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</w:r>
    <w:r>
      <w:rPr>
        <w:color w:val="000000"/>
        <w:sz w:val="13"/>
        <w:szCs w:val="13"/>
      </w:rPr>
      <w:tab/>
      <w:t xml:space="preserve">Strona 1 z </w:t>
    </w:r>
    <w:r w:rsidR="00AE2196">
      <w:rPr>
        <w:color w:val="000000"/>
        <w:sz w:val="13"/>
        <w:szCs w:val="13"/>
      </w:rPr>
      <w:t>1</w:t>
    </w:r>
    <w:bookmarkStart w:id="1" w:name="_GoBack"/>
    <w:bookmarkEnd w:id="1"/>
  </w:p>
  <w:p w14:paraId="0BFF47DB" w14:textId="77777777" w:rsidR="00422352" w:rsidRDefault="00422352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C936B" w14:textId="77777777" w:rsidR="009D0219" w:rsidRDefault="0091364D">
      <w:r>
        <w:separator/>
      </w:r>
    </w:p>
  </w:footnote>
  <w:footnote w:type="continuationSeparator" w:id="0">
    <w:p w14:paraId="3811A227" w14:textId="77777777" w:rsidR="009D0219" w:rsidRDefault="0091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476AC" w14:textId="77777777" w:rsidR="00AE2196" w:rsidRDefault="00AE2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CE94" w14:textId="77777777" w:rsidR="00422352" w:rsidRDefault="00422352">
    <w:pPr>
      <w:pStyle w:val="LO-normal"/>
      <w:spacing w:line="398" w:lineRule="auto"/>
      <w:rPr>
        <w:color w:val="000000"/>
        <w:sz w:val="13"/>
        <w:szCs w:val="13"/>
      </w:rPr>
    </w:pPr>
  </w:p>
  <w:p w14:paraId="04DFE507" w14:textId="77777777" w:rsidR="00422352" w:rsidRDefault="00422352">
    <w:pPr>
      <w:pStyle w:val="LO-normal"/>
      <w:rPr>
        <w:color w:val="000000"/>
        <w:sz w:val="20"/>
        <w:szCs w:val="20"/>
      </w:rPr>
    </w:pPr>
  </w:p>
  <w:p w14:paraId="1C61E82E" w14:textId="77777777" w:rsidR="00422352" w:rsidRDefault="00422352">
    <w:pPr>
      <w:pStyle w:val="LO-normal"/>
      <w:rPr>
        <w:color w:val="000000"/>
        <w:sz w:val="20"/>
        <w:szCs w:val="20"/>
      </w:rPr>
    </w:pPr>
  </w:p>
  <w:p w14:paraId="7314EDBF" w14:textId="77777777" w:rsidR="00422352" w:rsidRDefault="00422352">
    <w:pPr>
      <w:pStyle w:val="LO-normal"/>
      <w:rPr>
        <w:color w:val="000000"/>
        <w:sz w:val="20"/>
        <w:szCs w:val="20"/>
      </w:rPr>
    </w:pPr>
  </w:p>
  <w:p w14:paraId="04F1ABB5" w14:textId="77777777" w:rsidR="00422352" w:rsidRDefault="00422352">
    <w:pPr>
      <w:pStyle w:val="LO-normal"/>
      <w:rPr>
        <w:color w:val="000000"/>
        <w:sz w:val="20"/>
        <w:szCs w:val="20"/>
      </w:rPr>
    </w:pPr>
  </w:p>
  <w:p w14:paraId="4654E0D9" w14:textId="77777777" w:rsidR="00422352" w:rsidRDefault="00422352">
    <w:pPr>
      <w:pStyle w:val="LO-normal"/>
      <w:rPr>
        <w:color w:val="000000"/>
        <w:sz w:val="20"/>
        <w:szCs w:val="20"/>
      </w:rPr>
    </w:pPr>
  </w:p>
  <w:p w14:paraId="4142B11C" w14:textId="77777777" w:rsidR="00422352" w:rsidRDefault="00422352">
    <w:pPr>
      <w:pStyle w:val="LO-normal"/>
      <w:rPr>
        <w:color w:val="000000"/>
        <w:sz w:val="20"/>
        <w:szCs w:val="20"/>
      </w:rPr>
    </w:pPr>
  </w:p>
  <w:p w14:paraId="36915591" w14:textId="77777777" w:rsidR="00422352" w:rsidRDefault="00422352">
    <w:pPr>
      <w:pStyle w:val="LO-normal"/>
      <w:rPr>
        <w:color w:val="000000"/>
        <w:sz w:val="20"/>
        <w:szCs w:val="20"/>
      </w:rPr>
    </w:pPr>
  </w:p>
  <w:p w14:paraId="008C5FB7" w14:textId="77777777" w:rsidR="00422352" w:rsidRDefault="00422352">
    <w:pPr>
      <w:pStyle w:val="LO-normal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CC745" w14:textId="77777777" w:rsidR="00422352" w:rsidRDefault="0091364D">
    <w:pPr>
      <w:pStyle w:val="LO-normal"/>
      <w:rPr>
        <w:color w:val="000000"/>
        <w:sz w:val="13"/>
        <w:szCs w:val="13"/>
      </w:rPr>
    </w:pPr>
    <w:r>
      <w:rPr>
        <w:noProof/>
        <w:color w:val="000000"/>
        <w:sz w:val="13"/>
        <w:szCs w:val="13"/>
      </w:rPr>
      <w:drawing>
        <wp:anchor distT="0" distB="0" distL="0" distR="0" simplePos="0" relativeHeight="2" behindDoc="1" locked="0" layoutInCell="1" allowOverlap="1" wp14:anchorId="7C3E2CF6" wp14:editId="784FCC87">
          <wp:simplePos x="0" y="0"/>
          <wp:positionH relativeFrom="column">
            <wp:posOffset>1910080</wp:posOffset>
          </wp:positionH>
          <wp:positionV relativeFrom="paragraph">
            <wp:posOffset>-450215</wp:posOffset>
          </wp:positionV>
          <wp:extent cx="3438525" cy="15811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D1D0A"/>
    <w:multiLevelType w:val="multilevel"/>
    <w:tmpl w:val="61C2BC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450859"/>
    <w:multiLevelType w:val="multilevel"/>
    <w:tmpl w:val="F7B2F38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cs="Noto Sans Symbol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52"/>
    <w:rsid w:val="003379F5"/>
    <w:rsid w:val="00422352"/>
    <w:rsid w:val="0091364D"/>
    <w:rsid w:val="009D0219"/>
    <w:rsid w:val="00A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C1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18"/>
        <w:szCs w:val="18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spacing w:after="660"/>
      <w:ind w:hanging="1134"/>
      <w:outlineLvl w:val="0"/>
    </w:pPr>
    <w:rPr>
      <w:sz w:val="40"/>
      <w:szCs w:val="40"/>
      <w:vertAlign w:val="superscript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ind w:hanging="1134"/>
      <w:outlineLvl w:val="1"/>
    </w:pPr>
    <w:rPr>
      <w:b/>
      <w:sz w:val="20"/>
      <w:szCs w:val="20"/>
      <w:vertAlign w:val="superscript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ind w:hanging="1134"/>
      <w:outlineLvl w:val="2"/>
    </w:pPr>
    <w:rPr>
      <w:i/>
      <w:sz w:val="20"/>
      <w:szCs w:val="20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ind w:hanging="1134"/>
      <w:outlineLvl w:val="3"/>
    </w:pPr>
    <w:rPr>
      <w:sz w:val="20"/>
      <w:szCs w:val="2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ind w:hanging="1134"/>
      <w:outlineLvl w:val="4"/>
    </w:pPr>
    <w:rPr>
      <w:sz w:val="20"/>
      <w:szCs w:val="20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tabs>
        <w:tab w:val="left" w:pos="1009"/>
      </w:tabs>
      <w:ind w:hanging="1134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Noto Sans Symbols" w:cs="Noto Sans Symbols"/>
      <w:b w:val="0"/>
      <w:sz w:val="22"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ListLabel10">
    <w:name w:val="ListLabel 10"/>
    <w:qFormat/>
    <w:rPr>
      <w:rFonts w:ascii="Arial" w:eastAsia="Arial" w:hAnsi="Arial" w:cs="Arial"/>
      <w:color w:val="0000FF"/>
      <w:sz w:val="22"/>
      <w:szCs w:val="22"/>
      <w:u w:val="single"/>
    </w:rPr>
  </w:style>
  <w:style w:type="character" w:customStyle="1" w:styleId="czeinternetowe">
    <w:name w:val="Łącze internetowe"/>
    <w:rPr>
      <w:color w:val="000080"/>
      <w:u w:val="single"/>
    </w:rPr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LO-normal"/>
    <w:uiPriority w:val="10"/>
    <w:qFormat/>
    <w:pPr>
      <w:pBdr>
        <w:bottom w:val="single" w:sz="8" w:space="4" w:color="4F81BD"/>
      </w:pBd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eb.n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em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6C339811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2020-12-07T14:54:00Z</dcterms:created>
  <dcterms:modified xsi:type="dcterms:W3CDTF">2020-12-11T10:49:00Z</dcterms:modified>
  <dc:language/>
</cp:coreProperties>
</file>