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6F" w:rsidRDefault="00E4386F" w:rsidP="00E4386F">
      <w:pPr>
        <w:pStyle w:val="Heading1"/>
      </w:pPr>
      <w:bookmarkStart w:id="0" w:name="_Toc504460965"/>
      <w:r>
        <w:t>Bijlage 12: Processchema grootschalige interventie</w:t>
      </w:r>
      <w:bookmarkEnd w:id="0"/>
    </w:p>
    <w:bookmarkStart w:id="1" w:name="_GoBack"/>
    <w:p w:rsidR="00E4386F" w:rsidRPr="00465AEF" w:rsidRDefault="00E4386F" w:rsidP="00E4386F">
      <w:r>
        <w:object w:dxaOrig="15204" w:dyaOrig="8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7pt;height:383.1pt" o:ole="">
            <v:imagedata r:id="rId5" o:title=""/>
          </v:shape>
          <o:OLEObject Type="Embed" ProgID="Visio.Drawing.11" ShapeID="_x0000_i1025" DrawAspect="Content" ObjectID="_1578209257" r:id="rId6"/>
        </w:object>
      </w:r>
      <w:bookmarkEnd w:id="1"/>
    </w:p>
    <w:p w:rsidR="00E4386F" w:rsidRDefault="00E4386F" w:rsidP="00E4386F">
      <w:pPr>
        <w:rPr>
          <w:sz w:val="28"/>
          <w:szCs w:val="28"/>
        </w:rPr>
        <w:sectPr w:rsidR="00E4386F" w:rsidSect="002D7FCA">
          <w:pgSz w:w="16840" w:h="11907" w:orient="landscape" w:code="9"/>
          <w:pgMar w:top="1582" w:right="2410" w:bottom="993" w:left="1066" w:header="709" w:footer="510" w:gutter="0"/>
          <w:paperSrc w:first="260" w:other="259"/>
          <w:cols w:space="720"/>
          <w:titlePg/>
          <w:docGrid w:linePitch="360"/>
        </w:sectPr>
      </w:pPr>
    </w:p>
    <w:p w:rsidR="00E4386F" w:rsidRDefault="00E4386F" w:rsidP="00E4386F">
      <w:pPr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4386F" w:rsidRPr="0034690A" w:rsidTr="004C773E">
        <w:tc>
          <w:tcPr>
            <w:tcW w:w="9288" w:type="dxa"/>
            <w:gridSpan w:val="2"/>
            <w:shd w:val="clear" w:color="auto" w:fill="DAEEF3" w:themeFill="accent5" w:themeFillTint="33"/>
          </w:tcPr>
          <w:p w:rsidR="00E4386F" w:rsidRPr="00D03BEE" w:rsidRDefault="00E4386F" w:rsidP="004C773E">
            <w:r w:rsidRPr="00D03BEE">
              <w:t>Personeel</w:t>
            </w:r>
          </w:p>
        </w:tc>
      </w:tr>
      <w:tr w:rsidR="00E4386F" w:rsidRPr="0034690A" w:rsidTr="004C773E">
        <w:tc>
          <w:tcPr>
            <w:tcW w:w="4644" w:type="dxa"/>
            <w:shd w:val="clear" w:color="auto" w:fill="F2F2F2" w:themeFill="background1" w:themeFillShade="F2"/>
          </w:tcPr>
          <w:p w:rsidR="00E4386F" w:rsidRPr="00D03BEE" w:rsidRDefault="00E4386F" w:rsidP="004C773E">
            <w:pPr>
              <w:rPr>
                <w:b/>
              </w:rPr>
            </w:pPr>
            <w:r w:rsidRPr="00D03BEE">
              <w:rPr>
                <w:b/>
              </w:rPr>
              <w:t>Functie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E4386F" w:rsidRPr="00D03BEE" w:rsidRDefault="00E4386F" w:rsidP="004C773E">
            <w:pPr>
              <w:rPr>
                <w:b/>
              </w:rPr>
            </w:pPr>
            <w:r w:rsidRPr="00D03BEE">
              <w:rPr>
                <w:b/>
              </w:rPr>
              <w:t>Beschrijving en verantwoordelijkheid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Medisch coördinator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 xml:space="preserve">Medisch eindverantwoordelijke, achterwacht triage, </w:t>
            </w:r>
            <w:proofErr w:type="gramStart"/>
            <w:r w:rsidRPr="00D03BEE">
              <w:t xml:space="preserve">EHBO,  </w:t>
            </w:r>
            <w:proofErr w:type="gramEnd"/>
            <w:r w:rsidRPr="00D03BEE">
              <w:t>aanspreekpunt medische vragen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Logistiek coördinator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Communicatie, logistiek personeel en goederen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proofErr w:type="spellStart"/>
            <w:r w:rsidRPr="00D03BEE">
              <w:t>Triagist</w:t>
            </w:r>
            <w:proofErr w:type="spellEnd"/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Beoordeling contra-indicatie en indicatiestelling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Kwaliteitsmedewerker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Toezicht vaccinatieproces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Vaccinbeheerder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Controle en registratie vaccin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Vaccinateur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Voert vaccinatie uit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Voorbereider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 xml:space="preserve">Prepareren van vaccin voor vaccinatie 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Logistiek medewerker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 xml:space="preserve">Ontvangst en coördinatie </w:t>
            </w:r>
            <w:proofErr w:type="gramStart"/>
            <w:r w:rsidRPr="00D03BEE">
              <w:t>doorstroom</w:t>
            </w:r>
            <w:proofErr w:type="gramEnd"/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Administratief medewerker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 xml:space="preserve">Registratie vaccinatie en gezondheidsverklaring 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Informatiemedewerker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Afhandelen van administratieve afwijkingen en eenvoudige medische vragen van publiek.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Omloop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 xml:space="preserve">Distributie van materiaal, </w:t>
            </w:r>
            <w:proofErr w:type="spellStart"/>
            <w:r w:rsidRPr="00D03BEE">
              <w:t>Cold</w:t>
            </w:r>
            <w:proofErr w:type="spellEnd"/>
            <w:r w:rsidRPr="00D03BEE">
              <w:t>-Chain registratie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EHBO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Verlening eerste hulp</w:t>
            </w:r>
          </w:p>
        </w:tc>
      </w:tr>
      <w:tr w:rsidR="00E4386F" w:rsidRPr="0034690A" w:rsidTr="004C773E">
        <w:tc>
          <w:tcPr>
            <w:tcW w:w="9288" w:type="dxa"/>
            <w:gridSpan w:val="2"/>
          </w:tcPr>
          <w:p w:rsidR="00E4386F" w:rsidRPr="00D03BEE" w:rsidRDefault="00E4386F" w:rsidP="004C773E">
            <w:pPr>
              <w:spacing w:after="0"/>
            </w:pPr>
            <w:r w:rsidRPr="00D03BEE">
              <w:t>Aandachtsgebieden personeel</w:t>
            </w:r>
          </w:p>
        </w:tc>
      </w:tr>
      <w:tr w:rsidR="00E4386F" w:rsidRPr="0034690A" w:rsidTr="004C773E">
        <w:tc>
          <w:tcPr>
            <w:tcW w:w="9288" w:type="dxa"/>
            <w:gridSpan w:val="2"/>
          </w:tcPr>
          <w:p w:rsidR="00E4386F" w:rsidRPr="00D03BEE" w:rsidRDefault="00E4386F" w:rsidP="004C773E">
            <w:pPr>
              <w:spacing w:after="0"/>
            </w:pPr>
            <w:r w:rsidRPr="00D03BEE">
              <w:t>Werving intern en extern personeel</w:t>
            </w:r>
          </w:p>
        </w:tc>
      </w:tr>
      <w:tr w:rsidR="00E4386F" w:rsidRPr="0034690A" w:rsidTr="004C773E">
        <w:tc>
          <w:tcPr>
            <w:tcW w:w="9288" w:type="dxa"/>
            <w:gridSpan w:val="2"/>
          </w:tcPr>
          <w:p w:rsidR="00E4386F" w:rsidRPr="00D03BEE" w:rsidRDefault="00E4386F" w:rsidP="004C773E">
            <w:pPr>
              <w:spacing w:after="0"/>
            </w:pPr>
            <w:r w:rsidRPr="00D03BEE">
              <w:t>Bekwaam- en bevoegdheid en verzekering</w:t>
            </w:r>
          </w:p>
        </w:tc>
      </w:tr>
      <w:tr w:rsidR="00E4386F" w:rsidRPr="0034690A" w:rsidTr="004C773E">
        <w:tc>
          <w:tcPr>
            <w:tcW w:w="9288" w:type="dxa"/>
            <w:gridSpan w:val="2"/>
          </w:tcPr>
          <w:p w:rsidR="00E4386F" w:rsidRPr="00D03BEE" w:rsidRDefault="00E4386F" w:rsidP="004C773E">
            <w:pPr>
              <w:spacing w:after="0"/>
            </w:pPr>
            <w:r w:rsidRPr="00D03BEE">
              <w:t xml:space="preserve">Gezondheidsrisico's/vaccinatiestatus </w:t>
            </w:r>
          </w:p>
        </w:tc>
      </w:tr>
      <w:tr w:rsidR="00E4386F" w:rsidRPr="0034690A" w:rsidTr="004C773E">
        <w:tc>
          <w:tcPr>
            <w:tcW w:w="9288" w:type="dxa"/>
            <w:gridSpan w:val="2"/>
          </w:tcPr>
          <w:p w:rsidR="00E4386F" w:rsidRPr="00D03BEE" w:rsidRDefault="00E4386F" w:rsidP="004C773E">
            <w:pPr>
              <w:spacing w:after="0"/>
            </w:pPr>
            <w:r w:rsidRPr="00D03BEE">
              <w:t>Planning en roostering</w:t>
            </w:r>
          </w:p>
        </w:tc>
      </w:tr>
      <w:tr w:rsidR="00E4386F" w:rsidRPr="0034690A" w:rsidTr="004C773E">
        <w:tc>
          <w:tcPr>
            <w:tcW w:w="9288" w:type="dxa"/>
            <w:gridSpan w:val="2"/>
          </w:tcPr>
          <w:p w:rsidR="00E4386F" w:rsidRPr="00D03BEE" w:rsidRDefault="00E4386F" w:rsidP="004C773E">
            <w:pPr>
              <w:spacing w:after="0"/>
            </w:pPr>
            <w:r w:rsidRPr="00D03BEE">
              <w:t>Presentielijsten</w:t>
            </w:r>
          </w:p>
        </w:tc>
      </w:tr>
      <w:tr w:rsidR="00E4386F" w:rsidRPr="0034690A" w:rsidTr="004C773E">
        <w:tc>
          <w:tcPr>
            <w:tcW w:w="9288" w:type="dxa"/>
            <w:gridSpan w:val="2"/>
          </w:tcPr>
          <w:p w:rsidR="00E4386F" w:rsidRPr="00D03BEE" w:rsidRDefault="00E4386F" w:rsidP="004C773E">
            <w:pPr>
              <w:spacing w:after="0"/>
            </w:pPr>
            <w:r w:rsidRPr="00D03BEE">
              <w:t>Continuïteitsplan reguliere GGD-taken en verzuim</w:t>
            </w:r>
          </w:p>
        </w:tc>
      </w:tr>
      <w:tr w:rsidR="00E4386F" w:rsidRPr="0034690A" w:rsidTr="004C773E">
        <w:tc>
          <w:tcPr>
            <w:tcW w:w="9288" w:type="dxa"/>
            <w:gridSpan w:val="2"/>
            <w:shd w:val="clear" w:color="auto" w:fill="DAEEF3" w:themeFill="accent5" w:themeFillTint="33"/>
          </w:tcPr>
          <w:p w:rsidR="00E4386F" w:rsidRPr="00D03BEE" w:rsidRDefault="00E4386F" w:rsidP="004C773E">
            <w:pPr>
              <w:spacing w:after="0"/>
            </w:pPr>
            <w:r w:rsidRPr="00D03BEE">
              <w:t>Communicatie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proofErr w:type="gramStart"/>
            <w:r w:rsidRPr="00D03BEE">
              <w:t>Informeren</w:t>
            </w:r>
            <w:proofErr w:type="gramEnd"/>
            <w:r w:rsidRPr="00D03BEE">
              <w:t xml:space="preserve"> belanghebbende 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proofErr w:type="gramStart"/>
            <w:r w:rsidRPr="00D03BEE">
              <w:t>Bestuurlijk</w:t>
            </w:r>
            <w:proofErr w:type="gramEnd"/>
            <w:r w:rsidRPr="00D03BEE">
              <w:t xml:space="preserve"> verantwoordelijken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Briefing intern en extern personeel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Ketenpartners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Naastgelegen regio’s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Media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proofErr w:type="gramStart"/>
            <w:r w:rsidRPr="00D03BEE">
              <w:t>Inschakelen</w:t>
            </w:r>
            <w:proofErr w:type="gramEnd"/>
            <w:r w:rsidRPr="00D03BEE">
              <w:t xml:space="preserve"> communicatiemedewerker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Publiekscommunicatie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Kernboodschap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 xml:space="preserve">Vragen en antwoorden 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Callcenter</w:t>
            </w:r>
          </w:p>
        </w:tc>
      </w:tr>
      <w:tr w:rsidR="00E4386F" w:rsidRPr="0034690A" w:rsidTr="004C773E">
        <w:tc>
          <w:tcPr>
            <w:tcW w:w="9288" w:type="dxa"/>
            <w:gridSpan w:val="2"/>
            <w:shd w:val="clear" w:color="auto" w:fill="DAEEF3" w:themeFill="accent5" w:themeFillTint="33"/>
          </w:tcPr>
          <w:p w:rsidR="00E4386F" w:rsidRPr="00D03BEE" w:rsidRDefault="00E4386F" w:rsidP="004C773E">
            <w:pPr>
              <w:spacing w:after="0"/>
            </w:pPr>
            <w:r w:rsidRPr="00D03BEE">
              <w:t>Priklocaties, Materiaal, logistiek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Locaties</w:t>
            </w:r>
          </w:p>
          <w:p w:rsidR="00E4386F" w:rsidRPr="00D03BEE" w:rsidRDefault="00E4386F" w:rsidP="004C773E">
            <w:pPr>
              <w:spacing w:after="0"/>
            </w:pP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Beschikbaar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Bereikbaar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Vindbaar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Capaciteit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Catering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Plattegronden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EHBO-ruimte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Beveiliging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Opbouw en indeling locatie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 xml:space="preserve">Plannen van opbouw en procesgerichte inrichting van de locatie 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Materiaal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Meubilair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Koelkasten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Afvalbakken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EHBO-middelen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lastRenderedPageBreak/>
              <w:t>Communicatie en ICT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Herkenbare kleding per functie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lastRenderedPageBreak/>
              <w:t>Vaccin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Keuze van het type vaccin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Levertermijn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Hoeveelheid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Houdbaarheid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 xml:space="preserve">Opslag, distributie &amp; </w:t>
            </w:r>
            <w:proofErr w:type="spellStart"/>
            <w:r w:rsidRPr="00D03BEE">
              <w:t>Cold</w:t>
            </w:r>
            <w:proofErr w:type="spellEnd"/>
            <w:r w:rsidRPr="00D03BEE">
              <w:t>-Chain</w:t>
            </w:r>
          </w:p>
          <w:p w:rsidR="00E4386F" w:rsidRPr="00D03BEE" w:rsidRDefault="00E4386F" w:rsidP="004C773E">
            <w:pPr>
              <w:spacing w:after="0"/>
              <w:rPr>
                <w:lang w:val="en-US"/>
              </w:rPr>
            </w:pPr>
            <w:r w:rsidRPr="00D03BEE">
              <w:rPr>
                <w:lang w:val="en-US"/>
              </w:rPr>
              <w:t>Retour procedure</w:t>
            </w:r>
          </w:p>
          <w:p w:rsidR="00E4386F" w:rsidRPr="00D03BEE" w:rsidRDefault="00E4386F" w:rsidP="004C773E">
            <w:pPr>
              <w:spacing w:after="0"/>
              <w:rPr>
                <w:lang w:val="en-US"/>
              </w:rPr>
            </w:pPr>
            <w:r w:rsidRPr="00D03BEE">
              <w:t>Risico</w:t>
            </w:r>
            <w:r w:rsidRPr="00D03BEE">
              <w:rPr>
                <w:lang w:val="en-US"/>
              </w:rPr>
              <w:t xml:space="preserve"> op complicities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Logistiek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Goederen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Vaccin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Personeel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Protocollen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Vaccinatie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Prikaccidenten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Dringend medisch handelen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Registratie bijwerkingen/complicaties</w:t>
            </w:r>
          </w:p>
          <w:p w:rsidR="00E4386F" w:rsidRPr="00D03BEE" w:rsidRDefault="00E4386F" w:rsidP="004C773E">
            <w:pPr>
              <w:spacing w:after="0"/>
            </w:pPr>
            <w:proofErr w:type="spellStart"/>
            <w:r w:rsidRPr="00D03BEE">
              <w:t>Cold</w:t>
            </w:r>
            <w:proofErr w:type="spellEnd"/>
            <w:r w:rsidRPr="00D03BEE">
              <w:t>-Chain</w:t>
            </w:r>
          </w:p>
        </w:tc>
      </w:tr>
      <w:tr w:rsidR="00E4386F" w:rsidRPr="0034690A" w:rsidTr="004C773E">
        <w:tc>
          <w:tcPr>
            <w:tcW w:w="9288" w:type="dxa"/>
            <w:gridSpan w:val="2"/>
            <w:shd w:val="clear" w:color="auto" w:fill="DAEEF3" w:themeFill="accent5" w:themeFillTint="33"/>
          </w:tcPr>
          <w:p w:rsidR="00E4386F" w:rsidRPr="00D03BEE" w:rsidRDefault="00E4386F" w:rsidP="004C773E">
            <w:pPr>
              <w:spacing w:after="0"/>
            </w:pPr>
            <w:r w:rsidRPr="00D03BEE">
              <w:t>Cliënten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Cliëntgegevens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 xml:space="preserve">Bepaal bron (GBA, RIVM) en format cliëntbestand 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Oproepschema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B.v. leeftijd of postcode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Bijzondere groepen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Dak- en thuislozen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Niet mobielen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Gesloten inrichting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Toeristen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 xml:space="preserve">Illegalen 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Ambassadepersoneel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Gezondheidsverklaring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Toetsing contra-indicaties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Toestemmingsverklaring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Kinderen en wilsonbekwame cliënten</w:t>
            </w:r>
          </w:p>
        </w:tc>
      </w:tr>
      <w:tr w:rsidR="00E4386F" w:rsidRPr="0034690A" w:rsidTr="004C773E">
        <w:tc>
          <w:tcPr>
            <w:tcW w:w="9288" w:type="dxa"/>
            <w:gridSpan w:val="2"/>
            <w:shd w:val="clear" w:color="auto" w:fill="DAEEF3" w:themeFill="accent5" w:themeFillTint="33"/>
          </w:tcPr>
          <w:p w:rsidR="00E4386F" w:rsidRPr="00D03BEE" w:rsidRDefault="00E4386F" w:rsidP="004C773E">
            <w:pPr>
              <w:spacing w:after="0"/>
            </w:pPr>
            <w:r w:rsidRPr="00D03BEE">
              <w:t>Organisatie en proces op locatie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Ontvangst en toeleiding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Logistiekmedewerker ontvangt en begeleidt publiek naar de administratie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Administratie en informatie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Administratief medewerker: controle en inname gezondheidsverklaring, toestemmingsverklaring en registratiekaart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Uitgifte vaccinatiebewijs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Verwijzing naar triage bij bijzonderheden gezondheidsverklaring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Triage: toetsing indicatiestelling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Informatiemedewerker: beantwoorden van vragen en kleine administratieve afwijkingen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Priklijn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 xml:space="preserve">Omloop: distributie vaccinatievloeistoffen naar 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voorbereiders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>Voorbereider: mengen en prepareren vaccin</w:t>
            </w:r>
          </w:p>
          <w:p w:rsidR="00E4386F" w:rsidRPr="00D03BEE" w:rsidRDefault="00E4386F" w:rsidP="004C773E">
            <w:pPr>
              <w:spacing w:after="0"/>
            </w:pPr>
            <w:r w:rsidRPr="00D03BEE">
              <w:t xml:space="preserve">Vaccinateur: zet vaccin 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Nazorg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Logistiek medewerker: begeleiding naar buiten of naar de EHBO-post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Afvalverwerking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 xml:space="preserve">Omloop: draagt zorg voor een veilige afvoer van medisch afval </w:t>
            </w:r>
            <w:proofErr w:type="gramStart"/>
            <w:r w:rsidRPr="00D03BEE">
              <w:t>middels</w:t>
            </w:r>
            <w:proofErr w:type="gramEnd"/>
            <w:r w:rsidRPr="00D03BEE">
              <w:t xml:space="preserve"> naaldcontainers</w:t>
            </w:r>
          </w:p>
        </w:tc>
      </w:tr>
      <w:tr w:rsidR="00E4386F" w:rsidRPr="0034690A" w:rsidTr="004C773E">
        <w:tc>
          <w:tcPr>
            <w:tcW w:w="9288" w:type="dxa"/>
            <w:gridSpan w:val="2"/>
          </w:tcPr>
          <w:p w:rsidR="00E4386F" w:rsidRPr="00D03BEE" w:rsidRDefault="00E4386F" w:rsidP="004C773E">
            <w:pPr>
              <w:spacing w:after="0"/>
            </w:pPr>
            <w:r w:rsidRPr="00D03BEE">
              <w:t>Aandachtsgebieden vaccinatieproces</w:t>
            </w:r>
          </w:p>
        </w:tc>
      </w:tr>
      <w:tr w:rsidR="00E4386F" w:rsidRPr="0034690A" w:rsidTr="004C773E">
        <w:tc>
          <w:tcPr>
            <w:tcW w:w="9288" w:type="dxa"/>
            <w:gridSpan w:val="2"/>
          </w:tcPr>
          <w:p w:rsidR="00E4386F" w:rsidRPr="00D03BEE" w:rsidRDefault="00E4386F" w:rsidP="004C773E">
            <w:pPr>
              <w:spacing w:after="0"/>
            </w:pPr>
            <w:r w:rsidRPr="00D03BEE">
              <w:lastRenderedPageBreak/>
              <w:t>Afzonderlijk proces voor angstige cliënten</w:t>
            </w:r>
          </w:p>
        </w:tc>
      </w:tr>
      <w:tr w:rsidR="00E4386F" w:rsidRPr="0034690A" w:rsidTr="004C773E">
        <w:tc>
          <w:tcPr>
            <w:tcW w:w="9288" w:type="dxa"/>
            <w:gridSpan w:val="2"/>
          </w:tcPr>
          <w:p w:rsidR="00E4386F" w:rsidRPr="00D03BEE" w:rsidRDefault="00E4386F" w:rsidP="004C773E">
            <w:pPr>
              <w:spacing w:after="0"/>
            </w:pPr>
            <w:r w:rsidRPr="00D03BEE">
              <w:t>Overweeg een mobiel team bijzondere groepen</w:t>
            </w:r>
          </w:p>
        </w:tc>
      </w:tr>
      <w:tr w:rsidR="00E4386F" w:rsidRPr="0034690A" w:rsidTr="004C773E">
        <w:tc>
          <w:tcPr>
            <w:tcW w:w="9288" w:type="dxa"/>
            <w:gridSpan w:val="2"/>
          </w:tcPr>
          <w:p w:rsidR="00E4386F" w:rsidRPr="00D03BEE" w:rsidRDefault="00E4386F" w:rsidP="004C773E">
            <w:pPr>
              <w:spacing w:after="0"/>
            </w:pPr>
            <w:r w:rsidRPr="00D03BEE">
              <w:t>Inhaaldag</w:t>
            </w:r>
          </w:p>
        </w:tc>
      </w:tr>
      <w:tr w:rsidR="00E4386F" w:rsidRPr="0034690A" w:rsidTr="004C773E">
        <w:tc>
          <w:tcPr>
            <w:tcW w:w="9288" w:type="dxa"/>
            <w:gridSpan w:val="2"/>
            <w:shd w:val="clear" w:color="auto" w:fill="DAEEF3" w:themeFill="accent5" w:themeFillTint="33"/>
          </w:tcPr>
          <w:p w:rsidR="00E4386F" w:rsidRPr="00D03BEE" w:rsidRDefault="00E4386F" w:rsidP="004C773E">
            <w:pPr>
              <w:spacing w:after="0"/>
            </w:pPr>
            <w:r w:rsidRPr="00D03BEE">
              <w:t>Evaluatie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Evaluatie personeel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Ervaring en verbeterpunten van het personeel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Onderzoek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Mogelijkheden uitvoeren van onderzoek tijdens campagne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Opkomstcijfers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proofErr w:type="gramStart"/>
            <w:r w:rsidRPr="00D03BEE">
              <w:t>Behalen</w:t>
            </w:r>
            <w:proofErr w:type="gramEnd"/>
            <w:r w:rsidRPr="00D03BEE">
              <w:t xml:space="preserve"> doelstelling</w:t>
            </w:r>
            <w:r w:rsidRPr="00D03BEE">
              <w:tab/>
            </w:r>
          </w:p>
          <w:p w:rsidR="00E4386F" w:rsidRPr="00D03BEE" w:rsidRDefault="00E4386F" w:rsidP="004C773E">
            <w:pPr>
              <w:spacing w:after="0"/>
            </w:pPr>
            <w:r w:rsidRPr="00D03BEE">
              <w:t xml:space="preserve">Planning toekomstige campagnes 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Klanttevredenheid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Ervaring en verbeterpunten van cliënten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Rapportage resultaten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Informeren van betrokkenpartijen over de behaalde resultaten</w:t>
            </w:r>
          </w:p>
        </w:tc>
      </w:tr>
      <w:tr w:rsidR="00E4386F" w:rsidRPr="0034690A" w:rsidTr="004C773E"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Aanpassing draaiboeken</w:t>
            </w:r>
          </w:p>
        </w:tc>
        <w:tc>
          <w:tcPr>
            <w:tcW w:w="4644" w:type="dxa"/>
          </w:tcPr>
          <w:p w:rsidR="00E4386F" w:rsidRPr="00D03BEE" w:rsidRDefault="00E4386F" w:rsidP="004C773E">
            <w:pPr>
              <w:spacing w:after="0"/>
            </w:pPr>
            <w:r w:rsidRPr="00D03BEE">
              <w:t>Aanpassing van draaiboeken op basis van resultaten, ervaringen en leerpunten</w:t>
            </w:r>
          </w:p>
        </w:tc>
      </w:tr>
    </w:tbl>
    <w:p w:rsidR="00E4386F" w:rsidRPr="006D1AD0" w:rsidRDefault="00E4386F" w:rsidP="00E4386F">
      <w:pPr>
        <w:spacing w:after="0"/>
      </w:pPr>
    </w:p>
    <w:p w:rsidR="00867DEA" w:rsidRDefault="00867DEA"/>
    <w:sectPr w:rsidR="00867DEA" w:rsidSect="002D7FCA">
      <w:pgSz w:w="11907" w:h="16840" w:code="9"/>
      <w:pgMar w:top="2410" w:right="993" w:bottom="1066" w:left="1582" w:header="709" w:footer="510" w:gutter="0"/>
      <w:paperSrc w:first="260" w:other="259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6F"/>
    <w:rsid w:val="00454707"/>
    <w:rsid w:val="00867DEA"/>
    <w:rsid w:val="00E4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6F"/>
    <w:rPr>
      <w:rFonts w:ascii="Verdana" w:eastAsiaTheme="minorEastAsia" w:hAnsi="Verdana"/>
      <w:sz w:val="18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4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7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47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47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47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547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47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47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547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547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547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547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547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54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54707"/>
    <w:pPr>
      <w:spacing w:line="240" w:lineRule="auto"/>
    </w:pPr>
    <w:rPr>
      <w:rFonts w:asciiTheme="minorHAnsi" w:eastAsiaTheme="minorHAnsi" w:hAnsiTheme="minorHAnsi"/>
      <w:b/>
      <w:bCs/>
      <w:color w:val="4F81BD" w:themeColor="accent1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4707"/>
    <w:rPr>
      <w:b/>
      <w:bCs/>
    </w:rPr>
  </w:style>
  <w:style w:type="character" w:styleId="Emphasis">
    <w:name w:val="Emphasis"/>
    <w:basedOn w:val="DefaultParagraphFont"/>
    <w:uiPriority w:val="20"/>
    <w:qFormat/>
    <w:rsid w:val="00454707"/>
    <w:rPr>
      <w:i/>
      <w:iCs/>
    </w:rPr>
  </w:style>
  <w:style w:type="paragraph" w:styleId="NoSpacing">
    <w:name w:val="No Spacing"/>
    <w:uiPriority w:val="1"/>
    <w:qFormat/>
    <w:rsid w:val="004547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707"/>
    <w:pPr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54707"/>
    <w:rPr>
      <w:rFonts w:asciiTheme="minorHAnsi" w:eastAsiaTheme="minorHAnsi" w:hAnsiTheme="minorHAnsi"/>
      <w:i/>
      <w:iCs/>
      <w:color w:val="000000" w:themeColor="text1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5470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70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70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470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470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470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470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470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54707"/>
    <w:pPr>
      <w:outlineLvl w:val="9"/>
    </w:pPr>
  </w:style>
  <w:style w:type="table" w:styleId="TableGrid">
    <w:name w:val="Table Grid"/>
    <w:basedOn w:val="TableNormal"/>
    <w:uiPriority w:val="59"/>
    <w:rsid w:val="00E4386F"/>
    <w:pPr>
      <w:spacing w:line="260" w:lineRule="atLeast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6F"/>
    <w:rPr>
      <w:rFonts w:ascii="Verdana" w:eastAsiaTheme="minorEastAsia" w:hAnsi="Verdana"/>
      <w:sz w:val="18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4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7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47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47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47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547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47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47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547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547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547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547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547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54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54707"/>
    <w:pPr>
      <w:spacing w:line="240" w:lineRule="auto"/>
    </w:pPr>
    <w:rPr>
      <w:rFonts w:asciiTheme="minorHAnsi" w:eastAsiaTheme="minorHAnsi" w:hAnsiTheme="minorHAnsi"/>
      <w:b/>
      <w:bCs/>
      <w:color w:val="4F81BD" w:themeColor="accent1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54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4707"/>
    <w:rPr>
      <w:b/>
      <w:bCs/>
    </w:rPr>
  </w:style>
  <w:style w:type="character" w:styleId="Emphasis">
    <w:name w:val="Emphasis"/>
    <w:basedOn w:val="DefaultParagraphFont"/>
    <w:uiPriority w:val="20"/>
    <w:qFormat/>
    <w:rsid w:val="00454707"/>
    <w:rPr>
      <w:i/>
      <w:iCs/>
    </w:rPr>
  </w:style>
  <w:style w:type="paragraph" w:styleId="NoSpacing">
    <w:name w:val="No Spacing"/>
    <w:uiPriority w:val="1"/>
    <w:qFormat/>
    <w:rsid w:val="004547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707"/>
    <w:pPr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54707"/>
    <w:rPr>
      <w:rFonts w:asciiTheme="minorHAnsi" w:eastAsiaTheme="minorHAnsi" w:hAnsiTheme="minorHAnsi"/>
      <w:i/>
      <w:iCs/>
      <w:color w:val="000000" w:themeColor="text1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5470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70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70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470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470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470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470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470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54707"/>
    <w:pPr>
      <w:outlineLvl w:val="9"/>
    </w:pPr>
  </w:style>
  <w:style w:type="table" w:styleId="TableGrid">
    <w:name w:val="Table Grid"/>
    <w:basedOn w:val="TableNormal"/>
    <w:uiPriority w:val="59"/>
    <w:rsid w:val="00E4386F"/>
    <w:pPr>
      <w:spacing w:line="260" w:lineRule="atLeast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320FD35E</Template>
  <TotalTime>1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van den Bosch - Senden</dc:creator>
  <cp:lastModifiedBy>Inge van den Bosch - Senden</cp:lastModifiedBy>
  <cp:revision>1</cp:revision>
  <dcterms:created xsi:type="dcterms:W3CDTF">2018-01-23T09:40:00Z</dcterms:created>
  <dcterms:modified xsi:type="dcterms:W3CDTF">2018-01-23T09:41:00Z</dcterms:modified>
</cp:coreProperties>
</file>